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C0F" w:rsidRDefault="009A68EF">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1A6C0F" w:rsidRDefault="001A6C0F">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1A6C0F" w:rsidRDefault="009A68EF">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Chars="281" w:firstLine="899"/>
        <w:rPr>
          <w:rFonts w:ascii="仿宋_GB2312" w:eastAsia="宋体" w:hAnsi="宋体" w:cs="Times New Roman"/>
          <w:sz w:val="32"/>
          <w:szCs w:val="32"/>
          <w:u w:val="single"/>
        </w:rPr>
      </w:pPr>
    </w:p>
    <w:p w:rsidR="001A6C0F" w:rsidRDefault="009A68EF">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1A6C0F" w:rsidRDefault="009A68EF" w:rsidP="00A257FF">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sidR="00A257FF">
        <w:rPr>
          <w:rFonts w:ascii="仿宋_GB2312" w:eastAsia="宋体" w:hAnsi="宋体" w:cs="Times New Roman" w:hint="eastAsia"/>
          <w:sz w:val="32"/>
          <w:szCs w:val="32"/>
          <w:u w:val="single"/>
        </w:rPr>
        <w:t xml:space="preserve">   </w:t>
      </w:r>
      <w:r w:rsidR="00A257FF" w:rsidRPr="00A257FF">
        <w:rPr>
          <w:rFonts w:ascii="仿宋_GB2312" w:eastAsia="宋体" w:hAnsi="宋体" w:cs="Times New Roman" w:hint="eastAsia"/>
          <w:sz w:val="32"/>
          <w:szCs w:val="32"/>
          <w:u w:val="single"/>
        </w:rPr>
        <w:t>扣钟北里甲</w:t>
      </w:r>
      <w:r w:rsidR="00A257FF" w:rsidRPr="00A257FF">
        <w:rPr>
          <w:rFonts w:ascii="仿宋_GB2312" w:eastAsia="宋体" w:hAnsi="宋体" w:cs="Times New Roman" w:hint="eastAsia"/>
          <w:sz w:val="32"/>
          <w:szCs w:val="32"/>
          <w:u w:val="single"/>
        </w:rPr>
        <w:t>4</w:t>
      </w:r>
      <w:r w:rsidR="00A257FF" w:rsidRPr="00A257FF">
        <w:rPr>
          <w:rFonts w:ascii="仿宋_GB2312" w:eastAsia="宋体" w:hAnsi="宋体" w:cs="Times New Roman" w:hint="eastAsia"/>
          <w:sz w:val="32"/>
          <w:szCs w:val="32"/>
          <w:u w:val="single"/>
        </w:rPr>
        <w:t>号楼租金</w:t>
      </w:r>
      <w:r w:rsidR="00A257FF">
        <w:rPr>
          <w:rFonts w:ascii="仿宋_GB2312" w:eastAsia="宋体" w:hAnsi="宋体" w:cs="Times New Roman" w:hint="eastAsia"/>
          <w:sz w:val="32"/>
          <w:szCs w:val="32"/>
          <w:u w:val="single"/>
        </w:rPr>
        <w:t xml:space="preserve">       </w:t>
      </w:r>
    </w:p>
    <w:p w:rsidR="001A6C0F" w:rsidRDefault="009A68EF">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1A6C0F" w:rsidRDefault="009A68EF">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1A6C0F" w:rsidRDefault="001A6C0F">
      <w:pPr>
        <w:jc w:val="center"/>
        <w:rPr>
          <w:rFonts w:ascii="仿宋_GB2312" w:eastAsia="宋体" w:hAnsi="Times New Roman" w:cs="Times New Roman"/>
          <w:szCs w:val="30"/>
        </w:rPr>
      </w:pP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西城区机关事务服务中心租赁办公用房。</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主要包括：办公用房共1笔支出。</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1A6C0F" w:rsidRDefault="009A68EF">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2024年，单位预算安排扣钟北里甲4号楼区办公用房租金5935860.32元。</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5.使用情况。2024年1月开始，12月完成。以租赁的形式，保障了</w:t>
      </w:r>
      <w:r w:rsidR="00F041FC">
        <w:rPr>
          <w:rFonts w:ascii="仿宋_GB2312" w:eastAsia="仿宋_GB2312" w:hAnsi="宋体" w:cs="宋体" w:hint="eastAsia"/>
          <w:color w:val="000000"/>
          <w:kern w:val="0"/>
          <w:sz w:val="32"/>
          <w:szCs w:val="32"/>
        </w:rPr>
        <w:t>单位</w:t>
      </w:r>
      <w:r>
        <w:rPr>
          <w:rFonts w:ascii="仿宋_GB2312" w:eastAsia="仿宋_GB2312" w:hAnsi="宋体" w:cs="宋体" w:hint="eastAsia"/>
          <w:color w:val="000000"/>
          <w:kern w:val="0"/>
          <w:sz w:val="32"/>
          <w:szCs w:val="32"/>
        </w:rPr>
        <w:t>的正常办公环境。</w:t>
      </w:r>
    </w:p>
    <w:p w:rsidR="001A6C0F" w:rsidRDefault="009A68EF">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1A6C0F" w:rsidRDefault="009A68EF">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1A6C0F" w:rsidRDefault="009A68EF">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1A6C0F" w:rsidRDefault="009A68EF" w:rsidP="00162B5B">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由区机关事务服务中心签订合同，并按合同支付费用。</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（一）绩效评价目的、对象和范围。</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我单位房租租赁费项目，主要包括钟北里甲4号楼共1处房屋租赁项目。</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1A6C0F" w:rsidRDefault="009A68EF">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上述共1处房屋租赁项目共保障1个单位的办公用房，项目资金支出共计5935860.32元</w:t>
      </w:r>
      <w:r>
        <w:rPr>
          <w:rFonts w:ascii="宋体" w:eastAsia="宋体" w:hAnsi="宋体" w:cs="宋体" w:hint="eastAsia"/>
          <w:color w:val="000000"/>
          <w:kern w:val="0"/>
          <w:sz w:val="22"/>
          <w:szCs w:val="24"/>
        </w:rPr>
        <w:t>。</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10%、产出指标50%、效益指标30%、服务对象满意度指标10%。二、三级指标应当根据指标重要程度、项目实施阶段等因素综合确定，准确反映项目的产出和效益。具体评价指标体系详见附件一。</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3.评价方法：采用定量和定性评价相结合的比较法。</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1A6C0F" w:rsidRDefault="009A68EF">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一级指标4个：项目资金、产出指标、效益指标、满意度指标。</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二级指标7个：包括：预算执行率、数量指标、质量指标、时效指标、成本指标、经济效益指标、服务对象满意度指标。</w:t>
      </w:r>
    </w:p>
    <w:p w:rsidR="001A6C0F" w:rsidRDefault="009A68EF">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级指标评分权重：①预算执行率1个指标，评分与一级指标评分一致，为10分；②产出指标总分50分，其中产出数量、产出质量作为自评重点，评分均按15分确定，其余产出时效及产出成本两项指标按10分确定。③效益指标总分30分，考虑项目资金主要以当期效益为重，故经济效益指标30分。④服务对象满意度1个指标，评分与一级指标评分一致，仍为10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（4）确定评分规则。</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w:t>
      </w:r>
      <w:r>
        <w:rPr>
          <w:rFonts w:ascii="仿宋_GB2312" w:eastAsia="仿宋_GB2312" w:hAnsi="仿宋_GB2312" w:cs="仿宋_GB2312" w:hint="eastAsia"/>
          <w:sz w:val="32"/>
          <w:szCs w:val="32"/>
        </w:rPr>
        <w:lastRenderedPageBreak/>
        <w:t>差3档，分别按照该指标对应分值区间100%-80%（含80%）、80%-60%（含60%）、60%-0%合理确定分值。各项绩效指标得分汇总成该项目自评的总分。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162B5B"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1A6C0F">
        <w:trPr>
          <w:trHeight w:hRule="exact" w:val="440"/>
          <w:jc w:val="center"/>
        </w:trPr>
        <w:tc>
          <w:tcPr>
            <w:tcW w:w="9100" w:type="dxa"/>
            <w:gridSpan w:val="14"/>
            <w:tcBorders>
              <w:top w:val="nil"/>
              <w:left w:val="nil"/>
              <w:bottom w:val="nil"/>
              <w:right w:val="nil"/>
            </w:tcBorders>
            <w:vAlign w:val="center"/>
          </w:tcPr>
          <w:p w:rsidR="001A6C0F" w:rsidRDefault="009A68EF">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1A6C0F">
        <w:trPr>
          <w:trHeight w:val="194"/>
          <w:jc w:val="center"/>
        </w:trPr>
        <w:tc>
          <w:tcPr>
            <w:tcW w:w="9100" w:type="dxa"/>
            <w:gridSpan w:val="14"/>
            <w:tcBorders>
              <w:top w:val="nil"/>
              <w:left w:val="nil"/>
              <w:bottom w:val="nil"/>
              <w:right w:val="nil"/>
            </w:tcBorders>
          </w:tcPr>
          <w:p w:rsidR="001A6C0F" w:rsidRDefault="009A68EF">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1A6C0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1A6C0F" w:rsidRDefault="009A68EF" w:rsidP="00A257FF">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扣钟北里甲4号楼租金</w:t>
            </w:r>
          </w:p>
        </w:tc>
      </w:tr>
      <w:tr w:rsidR="001A6C0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1A6C0F" w:rsidRDefault="009A68EF" w:rsidP="00A257FF">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1A6C0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rsidP="00A257FF">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rsidP="00A257FF">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071" w:type="dxa"/>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1A6C0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1A6C0F">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目标1：通过租赁，租赁1处房产，保障1个单位的办公用房。</w:t>
            </w:r>
          </w:p>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目标2：减少办公用房的周转，提高各单位机关办公的效率。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目标1：满足了各部门办公的基本条件，实现了各单位的基本职能。</w:t>
            </w:r>
          </w:p>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目标2：各单位办公用房能够满足办公需求。</w:t>
            </w:r>
          </w:p>
        </w:tc>
      </w:tr>
      <w:tr w:rsidR="001A6C0F">
        <w:trPr>
          <w:trHeight w:hRule="exact" w:val="517"/>
          <w:jc w:val="center"/>
        </w:trPr>
        <w:tc>
          <w:tcPr>
            <w:tcW w:w="578" w:type="dxa"/>
            <w:vMerge w:val="restart"/>
            <w:tcBorders>
              <w:top w:val="nil"/>
              <w:left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rsidP="00A257FF">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1A6C0F">
        <w:trPr>
          <w:trHeight w:hRule="exact" w:val="523"/>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指标1：共租赁1处办公用房。</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1492"/>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rsidP="00162B5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指标1：严格按照西城区办公用房租赁流程，，区财政下拨经费，专款专用</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741"/>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指标1：完成资金支付工作</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1327"/>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指标2：按照合同约定</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550"/>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指标1：严格控制成本</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593.59万元</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593.59万元</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1751"/>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降低用房成本</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837"/>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1A6C0F" w:rsidRDefault="009A68EF">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指标1：单位满意度</w:t>
            </w:r>
          </w:p>
        </w:tc>
        <w:tc>
          <w:tcPr>
            <w:tcW w:w="839"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r>
    </w:tbl>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对资金支出能精准预算、精确支出。</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w:t>
      </w:r>
      <w:r w:rsidR="00162B5B">
        <w:rPr>
          <w:rFonts w:ascii="仿宋_GB2312" w:eastAsia="仿宋_GB2312" w:hAnsi="宋体" w:cs="宋体" w:hint="eastAsia"/>
          <w:color w:val="000000"/>
          <w:kern w:val="0"/>
          <w:sz w:val="32"/>
          <w:szCs w:val="32"/>
        </w:rPr>
        <w:t>经审批后</w:t>
      </w:r>
      <w:r>
        <w:rPr>
          <w:rFonts w:ascii="仿宋_GB2312" w:eastAsia="仿宋_GB2312" w:hAnsi="宋体" w:cs="宋体" w:hint="eastAsia"/>
          <w:color w:val="000000"/>
          <w:kern w:val="0"/>
          <w:sz w:val="32"/>
          <w:szCs w:val="32"/>
        </w:rPr>
        <w:t>具体落实执行。</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机关事务服务中心负责租赁的房产，具体落实执行。</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（二）项目产出情况。</w:t>
      </w:r>
    </w:p>
    <w:p w:rsidR="001A6C0F" w:rsidRDefault="009A68EF">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保障了1个单位的办公用房。</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进一步加强预算管理，加大预算执行力度，确保实现预算管理的科学化、公开化、透明化。2．树立全面预算管理、绩效评价管理、审批制度管理和审核制度管理为主要内容的管理理念，事前参与决策、事中管理控制、事后绩效评价的财务管理模式。 </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1A6C0F" w:rsidRDefault="009A68EF">
      <w:pPr>
        <w:autoSpaceDE w:val="0"/>
        <w:autoSpaceDN w:val="0"/>
        <w:adjustRightInd w:val="0"/>
        <w:snapToGrid w:val="0"/>
        <w:spacing w:line="360" w:lineRule="auto"/>
        <w:jc w:val="center"/>
      </w:pPr>
      <w:r>
        <w:rPr>
          <w:rFonts w:hint="eastAsia"/>
        </w:rPr>
        <w:t xml:space="preserve">    </w:t>
      </w: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pPr>
    </w:p>
    <w:p w:rsidR="001A6C0F" w:rsidRDefault="009A68EF">
      <w:pPr>
        <w:autoSpaceDE w:val="0"/>
        <w:autoSpaceDN w:val="0"/>
        <w:adjustRightInd w:val="0"/>
        <w:snapToGrid w:val="0"/>
        <w:spacing w:line="360" w:lineRule="auto"/>
      </w:pPr>
      <w:bookmarkStart w:id="0" w:name="_GoBack"/>
      <w:bookmarkEnd w:id="0"/>
      <w:r>
        <w:rPr>
          <w:rFonts w:hint="eastAsia"/>
        </w:rPr>
        <w:lastRenderedPageBreak/>
        <w:t>附件一</w:t>
      </w:r>
    </w:p>
    <w:p w:rsidR="001A6C0F" w:rsidRDefault="009A68EF">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1A6C0F" w:rsidRDefault="009A68EF">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1A6C0F">
        <w:trPr>
          <w:trHeight w:hRule="exact" w:val="612"/>
          <w:jc w:val="center"/>
        </w:trPr>
        <w:tc>
          <w:tcPr>
            <w:tcW w:w="646" w:type="dxa"/>
            <w:vMerge w:val="restart"/>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1A6C0F">
        <w:trPr>
          <w:trHeight w:hRule="exact" w:val="1196"/>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1A6C0F">
        <w:trPr>
          <w:trHeight w:hRule="exact" w:val="1547"/>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为区属各单位提供办公用房，保障各办公区房屋的安全、整洁。</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1个办公区</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1.本指标以租赁房屋的办公区个数为准进行评分：实际租赁房屋的办公区个数/应租赁房屋的办公区个数*标准分计算得出；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2.租赁房屋的办公区个数低于20个不得分。</w:t>
            </w:r>
          </w:p>
        </w:tc>
      </w:tr>
      <w:tr w:rsidR="001A6C0F">
        <w:trPr>
          <w:trHeight w:hRule="exact" w:val="1819"/>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1A6C0F" w:rsidRDefault="009A68EF" w:rsidP="00162B5B">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严格按照西城区办公用房租赁流程，区财政下拨经费，专款专用</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1.按照会议纪要租赁房屋率100%得满分；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2.按照会议纪要租赁房屋率90%以上按实际通过率/100%*标准分计算得出；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3.按照会议纪要租赁房屋90%以下不得分。</w:t>
            </w:r>
          </w:p>
        </w:tc>
      </w:tr>
      <w:tr w:rsidR="001A6C0F">
        <w:trPr>
          <w:trHeight w:hRule="exact" w:val="1040"/>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2024年11月30日前</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2.超期未完成支付得0分。</w:t>
            </w:r>
          </w:p>
        </w:tc>
      </w:tr>
      <w:tr w:rsidR="001A6C0F">
        <w:trPr>
          <w:trHeight w:hRule="exact" w:val="1165"/>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未能按照合同约定，完成资金支付得0分。</w:t>
            </w:r>
          </w:p>
        </w:tc>
      </w:tr>
      <w:tr w:rsidR="001A6C0F">
        <w:trPr>
          <w:trHeight w:hRule="exact" w:val="905"/>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593.59万元</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2.实际支出超预算不得分。</w:t>
            </w:r>
          </w:p>
        </w:tc>
      </w:tr>
      <w:tr w:rsidR="001A6C0F">
        <w:trPr>
          <w:trHeight w:hRule="exact" w:val="2124"/>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1A6C0F" w:rsidRDefault="009A68EF">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1A6C0F" w:rsidRDefault="009A68EF">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未能对办公用房进行优化的得分在60%-80%；</w:t>
            </w:r>
          </w:p>
          <w:p w:rsidR="001A6C0F" w:rsidRDefault="009A68EF">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1A6C0F">
        <w:trPr>
          <w:trHeight w:hRule="exact" w:val="1673"/>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指标1：各办公区工作人员对房屋租赁工作的满意度</w:t>
            </w:r>
          </w:p>
        </w:tc>
        <w:tc>
          <w:tcPr>
            <w:tcW w:w="1110" w:type="dxa"/>
            <w:vAlign w:val="center"/>
          </w:tcPr>
          <w:p w:rsidR="001A6C0F" w:rsidRDefault="009A68EF">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95%以上</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1.满意度达标的得满分；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2.满意度80%以上的，按实际满意度/95%*标准分计算得出；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3.满意度80%以下不得分。</w:t>
            </w:r>
          </w:p>
        </w:tc>
      </w:tr>
    </w:tbl>
    <w:p w:rsidR="001A6C0F" w:rsidRDefault="001A6C0F"/>
    <w:sectPr w:rsidR="001A6C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3F7" w:rsidRDefault="00C463F7" w:rsidP="00A257FF">
      <w:r>
        <w:separator/>
      </w:r>
    </w:p>
  </w:endnote>
  <w:endnote w:type="continuationSeparator" w:id="0">
    <w:p w:rsidR="00C463F7" w:rsidRDefault="00C463F7" w:rsidP="00A2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3F7" w:rsidRDefault="00C463F7" w:rsidP="00A257FF">
      <w:r>
        <w:separator/>
      </w:r>
    </w:p>
  </w:footnote>
  <w:footnote w:type="continuationSeparator" w:id="0">
    <w:p w:rsidR="00C463F7" w:rsidRDefault="00C463F7" w:rsidP="00A25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162B5B"/>
    <w:rsid w:val="001A6C0F"/>
    <w:rsid w:val="003510C1"/>
    <w:rsid w:val="00553729"/>
    <w:rsid w:val="005F11BD"/>
    <w:rsid w:val="006D4B25"/>
    <w:rsid w:val="009A68EF"/>
    <w:rsid w:val="009F608A"/>
    <w:rsid w:val="00A257FF"/>
    <w:rsid w:val="00B21C53"/>
    <w:rsid w:val="00C463F7"/>
    <w:rsid w:val="00CF00E4"/>
    <w:rsid w:val="00F041FC"/>
    <w:rsid w:val="00FD7970"/>
    <w:rsid w:val="017721CB"/>
    <w:rsid w:val="050F2A76"/>
    <w:rsid w:val="14470408"/>
    <w:rsid w:val="15BB6761"/>
    <w:rsid w:val="15C04EFE"/>
    <w:rsid w:val="1D2E6FC0"/>
    <w:rsid w:val="1D6E4684"/>
    <w:rsid w:val="1DE576D0"/>
    <w:rsid w:val="1F693F9C"/>
    <w:rsid w:val="2F365332"/>
    <w:rsid w:val="38400A67"/>
    <w:rsid w:val="3D9C44F1"/>
    <w:rsid w:val="468F2639"/>
    <w:rsid w:val="4CDF5CEB"/>
    <w:rsid w:val="54AD1792"/>
    <w:rsid w:val="55365A7D"/>
    <w:rsid w:val="577A2EE1"/>
    <w:rsid w:val="5D0017E2"/>
    <w:rsid w:val="608C62F6"/>
    <w:rsid w:val="639F6B6D"/>
    <w:rsid w:val="66F022B5"/>
    <w:rsid w:val="6A914C55"/>
    <w:rsid w:val="6B1119F1"/>
    <w:rsid w:val="6CD775D7"/>
    <w:rsid w:val="71C474A4"/>
    <w:rsid w:val="738F4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B4D19C-20C9-4C87-90CC-69555B12F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624</Words>
  <Characters>3560</Characters>
  <Application>Microsoft Office Word</Application>
  <DocSecurity>0</DocSecurity>
  <Lines>29</Lines>
  <Paragraphs>8</Paragraphs>
  <ScaleCrop>false</ScaleCrop>
  <Company>Microsoft</Company>
  <LinksUpToDate>false</LinksUpToDate>
  <CharactersWithSpaces>4176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5</cp:revision>
  <dcterms:created xsi:type="dcterms:W3CDTF">2022-04-14T01:19:00Z</dcterms:created>
  <dcterms:modified xsi:type="dcterms:W3CDTF">2025-09-01T05:52:00Z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